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09C6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80" w:firstLineChars="200"/>
        <w:jc w:val="center"/>
        <w:textAlignment w:val="auto"/>
        <w:rPr>
          <w:rFonts w:hint="default" w:ascii="楷体_GB2312" w:hAnsi="Calibri" w:eastAsia="楷体_GB2312" w:cs="Times New Roman"/>
          <w:b w:val="0"/>
          <w:bCs w:val="0"/>
          <w:sz w:val="28"/>
          <w:szCs w:val="24"/>
          <w:lang w:val="en-US" w:eastAsia="zh-CN"/>
        </w:rPr>
      </w:pPr>
      <w:r>
        <w:rPr>
          <w:rFonts w:hint="eastAsia" w:ascii="方正公文小标宋" w:hAnsi="方正公文小标宋" w:eastAsia="方正公文小标宋" w:cs="方正公文小标宋"/>
          <w:b w:val="0"/>
          <w:bCs w:val="0"/>
          <w:sz w:val="44"/>
          <w:szCs w:val="44"/>
          <w:lang w:val="en-US" w:eastAsia="zh-CN"/>
        </w:rPr>
        <w:t>报价表</w:t>
      </w:r>
    </w:p>
    <w:p w14:paraId="6EE727F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lang w:val="en-US" w:eastAsia="zh-CN"/>
        </w:rPr>
      </w:pPr>
      <w:r>
        <w:rPr>
          <w:rFonts w:hint="eastAsia" w:ascii="仿宋" w:hAnsi="仿宋" w:eastAsia="仿宋" w:cs="仿宋"/>
          <w:b w:val="0"/>
          <w:bCs w:val="0"/>
          <w:sz w:val="28"/>
          <w:szCs w:val="28"/>
          <w:lang w:val="en-US" w:eastAsia="zh-CN"/>
        </w:rPr>
        <w:t>公司名称（盖章）：</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 xml:space="preserve"> 报价时间：</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u w:val="none"/>
          <w:lang w:val="en-US" w:eastAsia="zh-CN"/>
        </w:rPr>
        <w:t xml:space="preserve">  </w:t>
      </w:r>
      <w:r>
        <w:rPr>
          <w:rFonts w:hint="eastAsia" w:ascii="仿宋" w:hAnsi="仿宋" w:eastAsia="仿宋" w:cs="仿宋"/>
          <w:b w:val="0"/>
          <w:bCs w:val="0"/>
          <w:sz w:val="28"/>
          <w:szCs w:val="28"/>
          <w:lang w:val="en-US" w:eastAsia="zh-CN"/>
        </w:rPr>
        <w:t>联系人及电话：</w:t>
      </w:r>
      <w:r>
        <w:rPr>
          <w:rFonts w:hint="eastAsia" w:ascii="仿宋" w:hAnsi="仿宋" w:eastAsia="仿宋" w:cs="仿宋"/>
          <w:b w:val="0"/>
          <w:bCs w:val="0"/>
          <w:sz w:val="28"/>
          <w:szCs w:val="28"/>
          <w:u w:val="single"/>
          <w:lang w:val="en-US" w:eastAsia="zh-CN"/>
        </w:rPr>
        <w:t xml:space="preserve">                         </w:t>
      </w:r>
    </w:p>
    <w:tbl>
      <w:tblPr>
        <w:tblStyle w:val="4"/>
        <w:tblW w:w="13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216"/>
        <w:gridCol w:w="4640"/>
        <w:gridCol w:w="2890"/>
        <w:gridCol w:w="1335"/>
        <w:gridCol w:w="1358"/>
        <w:gridCol w:w="1801"/>
      </w:tblGrid>
      <w:tr w14:paraId="30D2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noWrap w:val="0"/>
            <w:vAlign w:val="center"/>
          </w:tcPr>
          <w:p w14:paraId="37C4C4A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1216" w:type="dxa"/>
            <w:noWrap w:val="0"/>
            <w:vAlign w:val="center"/>
          </w:tcPr>
          <w:p w14:paraId="4B17AA0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检测项目</w:t>
            </w:r>
          </w:p>
        </w:tc>
        <w:tc>
          <w:tcPr>
            <w:tcW w:w="4640" w:type="dxa"/>
            <w:noWrap w:val="0"/>
            <w:vAlign w:val="center"/>
          </w:tcPr>
          <w:p w14:paraId="1D79BEA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检测要求</w:t>
            </w:r>
          </w:p>
        </w:tc>
        <w:tc>
          <w:tcPr>
            <w:tcW w:w="2890" w:type="dxa"/>
            <w:noWrap w:val="0"/>
            <w:vAlign w:val="center"/>
          </w:tcPr>
          <w:p w14:paraId="63F2C1C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基本响应情况</w:t>
            </w:r>
          </w:p>
        </w:tc>
        <w:tc>
          <w:tcPr>
            <w:tcW w:w="1335" w:type="dxa"/>
            <w:noWrap w:val="0"/>
            <w:vAlign w:val="center"/>
          </w:tcPr>
          <w:p w14:paraId="3806AB9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单价（元）</w:t>
            </w:r>
          </w:p>
        </w:tc>
        <w:tc>
          <w:tcPr>
            <w:tcW w:w="1358" w:type="dxa"/>
            <w:noWrap w:val="0"/>
            <w:vAlign w:val="center"/>
          </w:tcPr>
          <w:p w14:paraId="2F5A676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总价（元）</w:t>
            </w:r>
          </w:p>
        </w:tc>
        <w:tc>
          <w:tcPr>
            <w:tcW w:w="1801" w:type="dxa"/>
            <w:noWrap w:val="0"/>
            <w:vAlign w:val="center"/>
          </w:tcPr>
          <w:p w14:paraId="33E4272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29FC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noWrap w:val="0"/>
            <w:vAlign w:val="center"/>
          </w:tcPr>
          <w:p w14:paraId="5D45988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1</w:t>
            </w:r>
          </w:p>
        </w:tc>
        <w:tc>
          <w:tcPr>
            <w:tcW w:w="1216" w:type="dxa"/>
            <w:noWrap w:val="0"/>
            <w:vAlign w:val="center"/>
          </w:tcPr>
          <w:p w14:paraId="49EF3C6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2025年</w:t>
            </w:r>
            <w:bookmarkStart w:id="0" w:name="_GoBack"/>
            <w:bookmarkEnd w:id="0"/>
            <w:r>
              <w:rPr>
                <w:rFonts w:hint="eastAsia" w:ascii="仿宋" w:hAnsi="仿宋" w:eastAsia="仿宋" w:cs="仿宋"/>
                <w:b/>
                <w:bCs/>
                <w:sz w:val="24"/>
                <w:szCs w:val="24"/>
                <w:vertAlign w:val="baseline"/>
                <w:lang w:val="en-US" w:eastAsia="zh-CN"/>
              </w:rPr>
              <w:t>福州高新区地方病防治项目：水砷水氟水碘</w:t>
            </w:r>
          </w:p>
        </w:tc>
        <w:tc>
          <w:tcPr>
            <w:tcW w:w="4640" w:type="dxa"/>
            <w:noWrap w:val="0"/>
            <w:vAlign w:val="center"/>
          </w:tcPr>
          <w:p w14:paraId="5C9E53A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1</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检测机构具有CMA认证资格，所有检测项目需具有相应的检测资质；</w:t>
            </w:r>
          </w:p>
          <w:p w14:paraId="722F7C1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2</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水氟检测方法：采用《GB/T5750.5-2023 生活饮用水标准检验方法 无机非金属指标》中氟化物的测定方法进行检测。</w:t>
            </w:r>
          </w:p>
          <w:p w14:paraId="5012949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3</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水砷检测方法：采用《GB/T5750.6-2023 生活饮用水卫生标准检测方法》 砷含量检测方法进行检测。</w:t>
            </w:r>
          </w:p>
          <w:p w14:paraId="3A5B374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4</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水</w:t>
            </w:r>
            <w:r>
              <w:rPr>
                <w:rFonts w:hint="eastAsia" w:ascii="方正仿宋_GB2312" w:hAnsi="方正仿宋_GB2312" w:eastAsia="方正仿宋_GB2312" w:cs="方正仿宋_GB2312"/>
                <w:sz w:val="21"/>
                <w:szCs w:val="21"/>
                <w:lang w:val="en-US" w:eastAsia="zh-CN"/>
              </w:rPr>
              <w:t>碘</w:t>
            </w:r>
            <w:r>
              <w:rPr>
                <w:rFonts w:hint="eastAsia" w:ascii="方正仿宋_GB2312" w:hAnsi="方正仿宋_GB2312" w:eastAsia="方正仿宋_GB2312" w:cs="方正仿宋_GB2312"/>
                <w:sz w:val="21"/>
                <w:szCs w:val="21"/>
              </w:rPr>
              <w:t>检测方法</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采用中国疾病预防控制中心国家碘缺乏病参照实验室推荐的“适合缺碘及高碘地区水碘检测的方法”（中国地方病学杂志，2007，26（3）：333-336）。先使用低浓度水碘的测定方法进行检测，有超过检测范围的样品再依次使用中浓度水碘和高浓度水碘的测定方法进行检测</w:t>
            </w:r>
          </w:p>
          <w:p w14:paraId="4CE3D1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5)</w:t>
            </w:r>
            <w:r>
              <w:rPr>
                <w:rFonts w:hint="eastAsia" w:ascii="方正仿宋_GB2312" w:hAnsi="方正仿宋_GB2312" w:eastAsia="方正仿宋_GB2312" w:cs="方正仿宋_GB2312"/>
                <w:sz w:val="21"/>
                <w:szCs w:val="21"/>
              </w:rPr>
              <w:t>进行水氟水砷</w:t>
            </w:r>
            <w:r>
              <w:rPr>
                <w:rFonts w:hint="eastAsia" w:ascii="方正仿宋_GB2312" w:hAnsi="方正仿宋_GB2312" w:eastAsia="方正仿宋_GB2312" w:cs="方正仿宋_GB2312"/>
                <w:sz w:val="21"/>
                <w:szCs w:val="21"/>
                <w:lang w:val="en-US" w:eastAsia="zh-CN"/>
              </w:rPr>
              <w:t>水碘</w:t>
            </w:r>
            <w:r>
              <w:rPr>
                <w:rFonts w:hint="eastAsia" w:ascii="方正仿宋_GB2312" w:hAnsi="方正仿宋_GB2312" w:eastAsia="方正仿宋_GB2312" w:cs="方正仿宋_GB2312"/>
                <w:sz w:val="21"/>
                <w:szCs w:val="21"/>
              </w:rPr>
              <w:t>检测过程中，每批次均需带质控样。</w:t>
            </w:r>
          </w:p>
          <w:p w14:paraId="0157759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6</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在收到样本之日起十五天之内完成检测并提供检测数据，仪器设备需保留原始数据两年。</w:t>
            </w:r>
          </w:p>
          <w:p w14:paraId="5A7EFB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7</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检测样品经省、市疾控复核有异议要求重新检测的需无条件重新检测。</w:t>
            </w:r>
          </w:p>
          <w:p w14:paraId="1ED411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textAlignment w:val="auto"/>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lang w:val="en-US" w:eastAsia="zh-CN"/>
              </w:rPr>
              <w:t>8</w:t>
            </w:r>
            <w:r>
              <w:rPr>
                <w:rFonts w:hint="eastAsia" w:ascii="方正仿宋_GB2312" w:hAnsi="方正仿宋_GB2312" w:eastAsia="方正仿宋_GB2312" w:cs="方正仿宋_GB2312"/>
                <w:sz w:val="21"/>
                <w:szCs w:val="21"/>
                <w:lang w:eastAsia="zh-CN"/>
              </w:rPr>
              <w:t>）</w:t>
            </w:r>
            <w:r>
              <w:rPr>
                <w:rFonts w:hint="eastAsia" w:ascii="方正仿宋_GB2312" w:hAnsi="方正仿宋_GB2312" w:eastAsia="方正仿宋_GB2312" w:cs="方正仿宋_GB2312"/>
                <w:sz w:val="21"/>
                <w:szCs w:val="21"/>
              </w:rPr>
              <w:t>样品检测完后需置于-20℃冰箱保存二年。</w:t>
            </w:r>
          </w:p>
          <w:p w14:paraId="0BA958C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p>
        </w:tc>
        <w:tc>
          <w:tcPr>
            <w:tcW w:w="2890" w:type="dxa"/>
            <w:noWrap w:val="0"/>
            <w:vAlign w:val="center"/>
          </w:tcPr>
          <w:p w14:paraId="6912030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p>
        </w:tc>
        <w:tc>
          <w:tcPr>
            <w:tcW w:w="1335" w:type="dxa"/>
            <w:noWrap w:val="0"/>
            <w:vAlign w:val="center"/>
          </w:tcPr>
          <w:p w14:paraId="0951CFB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p>
        </w:tc>
        <w:tc>
          <w:tcPr>
            <w:tcW w:w="1358" w:type="dxa"/>
            <w:noWrap w:val="0"/>
            <w:vAlign w:val="center"/>
          </w:tcPr>
          <w:p w14:paraId="00AC9A8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p>
        </w:tc>
        <w:tc>
          <w:tcPr>
            <w:tcW w:w="1801" w:type="dxa"/>
            <w:noWrap w:val="0"/>
            <w:vAlign w:val="center"/>
          </w:tcPr>
          <w:p w14:paraId="7290597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仿宋" w:hAnsi="仿宋" w:eastAsia="仿宋" w:cs="仿宋"/>
                <w:b/>
                <w:bCs/>
                <w:sz w:val="24"/>
                <w:szCs w:val="24"/>
                <w:vertAlign w:val="baseline"/>
                <w:lang w:val="en-US" w:eastAsia="zh-CN"/>
              </w:rPr>
            </w:pPr>
          </w:p>
        </w:tc>
      </w:tr>
    </w:tbl>
    <w:p w14:paraId="66DD33F9"/>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76BA3650-4534-467A-9383-6C1063AB4696}"/>
  </w:font>
  <w:font w:name="楷体_GB2312">
    <w:altName w:val="楷体"/>
    <w:panose1 w:val="02010609030101010101"/>
    <w:charset w:val="86"/>
    <w:family w:val="modern"/>
    <w:pitch w:val="default"/>
    <w:sig w:usb0="00000000" w:usb1="00000000" w:usb2="00000000" w:usb3="00000000" w:csb0="00040000" w:csb1="00000000"/>
    <w:embedRegular r:id="rId2" w:fontKey="{87C9CBCD-24A0-4F16-8E63-331076DF084C}"/>
  </w:font>
  <w:font w:name="楷体">
    <w:panose1 w:val="02010609060101010101"/>
    <w:charset w:val="86"/>
    <w:family w:val="auto"/>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3" w:fontKey="{226AC49A-E487-4AD9-B1DA-1CFBB8E9B978}"/>
  </w:font>
  <w:font w:name="仿宋">
    <w:panose1 w:val="02010609060101010101"/>
    <w:charset w:val="86"/>
    <w:family w:val="auto"/>
    <w:pitch w:val="default"/>
    <w:sig w:usb0="800002BF" w:usb1="38CF7CFA" w:usb2="00000016" w:usb3="00000000" w:csb0="00040001" w:csb1="00000000"/>
    <w:embedRegular r:id="rId4" w:fontKey="{80CD9B6D-D8F6-4305-93FB-C9F95D6B210A}"/>
  </w:font>
  <w:font w:name="方正仿宋_GB2312">
    <w:panose1 w:val="02000000000000000000"/>
    <w:charset w:val="86"/>
    <w:family w:val="auto"/>
    <w:pitch w:val="default"/>
    <w:sig w:usb0="A00002BF" w:usb1="184F6CFA" w:usb2="00000012" w:usb3="00000000" w:csb0="00040001" w:csb1="00000000"/>
    <w:embedRegular r:id="rId5" w:fontKey="{705AF7A9-9A2B-43D1-BEE2-37774DB7C39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4D4C56"/>
    <w:rsid w:val="3BF12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298</Words>
  <Characters>330</Characters>
  <Lines>0</Lines>
  <Paragraphs>0</Paragraphs>
  <TotalTime>3</TotalTime>
  <ScaleCrop>false</ScaleCrop>
  <LinksUpToDate>false</LinksUpToDate>
  <CharactersWithSpaces>391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air</dc:creator>
  <cp:lastModifiedBy>WPS_334660725</cp:lastModifiedBy>
  <cp:lastPrinted>2025-10-09T01:46:56Z</cp:lastPrinted>
  <dcterms:modified xsi:type="dcterms:W3CDTF">2025-10-09T02:02:18Z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eyJoZGlkIjoiMzI4YmE1YjJiN2IwNDYzY2IxNGMyNmFlYjllMmM1NTEiLCJ1c2VySWQiOiIzMzQ2NjA3MjUifQ==</vt:lpwstr>
  </property>
  <property fmtid="{D5CDD505-2E9C-101B-9397-08002B2CF9AE}" pid="4" name="ICV">
    <vt:lpwstr>14156CB9A3D845AE904BE078C0E852C4_13</vt:lpwstr>
  </property>
</Properties>
</file>